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FD78" w14:textId="114DB4D1" w:rsidR="005E4F35" w:rsidRPr="00B21361" w:rsidRDefault="005E4F35" w:rsidP="005E4F35">
      <w:pPr>
        <w:rPr>
          <w:b/>
          <w:bCs/>
        </w:rPr>
      </w:pPr>
      <w:r w:rsidRPr="00B21361">
        <w:rPr>
          <w:b/>
          <w:bCs/>
        </w:rPr>
        <w:t>Subject: Nearing retirement? It’s time to evaluate your income options.</w:t>
      </w:r>
    </w:p>
    <w:p w14:paraId="3A8691CB" w14:textId="77777777" w:rsidR="005E4F35" w:rsidRDefault="005E4F35" w:rsidP="005E4F35"/>
    <w:p w14:paraId="60640675" w14:textId="175967D8" w:rsidR="005E4F35" w:rsidRPr="00042092" w:rsidRDefault="00042092" w:rsidP="005E4F35">
      <w:pPr>
        <w:rPr>
          <w:b/>
          <w:bCs/>
        </w:rPr>
      </w:pPr>
      <w:r w:rsidRPr="00042092">
        <w:rPr>
          <w:b/>
          <w:bCs/>
        </w:rPr>
        <w:t>Body copy:</w:t>
      </w:r>
    </w:p>
    <w:p w14:paraId="68732393" w14:textId="5793E925" w:rsidR="005E4F35" w:rsidRDefault="005E4F35" w:rsidP="005E4F35">
      <w:r>
        <w:t>As you move closer to the day you stop working, it’s time to consider your income options in retirement.</w:t>
      </w:r>
    </w:p>
    <w:p w14:paraId="2428BE62" w14:textId="77777777" w:rsidR="005E4F35" w:rsidRDefault="005E4F35" w:rsidP="005E4F35">
      <w:r>
        <w:t xml:space="preserve">Your employer-sponsored retirement plan includes the </w:t>
      </w:r>
      <w:r w:rsidRPr="00042092">
        <w:rPr>
          <w:b/>
          <w:bCs/>
        </w:rPr>
        <w:t>Nuveen Lifecycle Income Collective Investment Trust Series (NLI CIT)</w:t>
      </w:r>
      <w:r>
        <w:t>. This solution allows you to save for retirement through a diversified target date fund, while providing the option to turn a portion of your savings, at retirement, into a guaranteed monthly paycheck</w:t>
      </w:r>
      <w:r w:rsidRPr="00354B2A">
        <w:rPr>
          <w:vertAlign w:val="superscript"/>
        </w:rPr>
        <w:t>1</w:t>
      </w:r>
      <w:r>
        <w:t>. Plus, the savings not allocated for guaranteed monthly income can be used to help pay for other expenses in retirement.</w:t>
      </w:r>
    </w:p>
    <w:p w14:paraId="4A1C725E" w14:textId="77777777" w:rsidR="005E4F35" w:rsidRDefault="005E4F35" w:rsidP="005E4F35">
      <w:r>
        <w:t xml:space="preserve">You see, when investing in the </w:t>
      </w:r>
      <w:r w:rsidRPr="00042092">
        <w:rPr>
          <w:b/>
          <w:bCs/>
        </w:rPr>
        <w:t>NLI CIT</w:t>
      </w:r>
      <w:r>
        <w:t>, a portion of your contributions are automatically allocated to the TIAA Secure Income Account (SIA). This provides the assurance that you’ll have a guaranteed income stream in retirement, for as long as you live.</w:t>
      </w:r>
    </w:p>
    <w:p w14:paraId="405C65E7" w14:textId="77777777" w:rsidR="005E4F35" w:rsidRDefault="005E4F35" w:rsidP="005E4F35">
      <w:r>
        <w:t>The SIA can help you create a personal income plan that suits your needs and the lifestyle you want when you retire. It starts with asking yourself two questions:</w:t>
      </w:r>
    </w:p>
    <w:p w14:paraId="1E3279A0" w14:textId="1170A334" w:rsidR="00042092" w:rsidRDefault="005E4F35" w:rsidP="00042092">
      <w:pPr>
        <w:pStyle w:val="ListParagraph"/>
        <w:numPr>
          <w:ilvl w:val="0"/>
          <w:numId w:val="2"/>
        </w:numPr>
      </w:pPr>
      <w:r>
        <w:t>How much will you need to cover your daily expenses?</w:t>
      </w:r>
    </w:p>
    <w:p w14:paraId="1F45C223" w14:textId="56E4AFA0" w:rsidR="005E4F35" w:rsidRDefault="005E4F35" w:rsidP="00042092">
      <w:pPr>
        <w:pStyle w:val="ListParagraph"/>
        <w:numPr>
          <w:ilvl w:val="0"/>
          <w:numId w:val="2"/>
        </w:numPr>
      </w:pPr>
      <w:r>
        <w:t>How much income will you get from Social Security and other sources, such as an employer pension plan or investments outside of your workplace retirement program</w:t>
      </w:r>
      <w:r w:rsidR="00821008">
        <w:t>?</w:t>
      </w:r>
    </w:p>
    <w:p w14:paraId="523575C8" w14:textId="77777777" w:rsidR="005E4F35" w:rsidRDefault="005E4F35" w:rsidP="005E4F35">
      <w:r>
        <w:t>After all, a diversified income plan is just as important as a diversified savings plan.</w:t>
      </w:r>
    </w:p>
    <w:p w14:paraId="67F454EB" w14:textId="77777777" w:rsidR="005E4F35" w:rsidRDefault="005E4F35" w:rsidP="005E4F35">
      <w:r>
        <w:t xml:space="preserve">To estimate how much </w:t>
      </w:r>
      <w:proofErr w:type="gramStart"/>
      <w:r>
        <w:t>income</w:t>
      </w:r>
      <w:proofErr w:type="gramEnd"/>
      <w:r>
        <w:t xml:space="preserve"> you might need to receive for life in retirement, visit nuveen.com/</w:t>
      </w:r>
      <w:proofErr w:type="spellStart"/>
      <w:r>
        <w:t>calcmyincome</w:t>
      </w:r>
      <w:proofErr w:type="spellEnd"/>
      <w:r>
        <w:t>. Or contact [</w:t>
      </w:r>
      <w:r w:rsidRPr="00042092">
        <w:rPr>
          <w:color w:val="FF0000"/>
        </w:rPr>
        <w:t>recordkeeper info</w:t>
      </w:r>
      <w:r>
        <w:t>] for more information.</w:t>
      </w:r>
    </w:p>
    <w:p w14:paraId="236A9E5A" w14:textId="77777777" w:rsidR="005E4F35" w:rsidRDefault="005E4F35" w:rsidP="005E4F35">
      <w:r>
        <w:t>Sincerely,</w:t>
      </w:r>
    </w:p>
    <w:p w14:paraId="4C49BA83" w14:textId="77777777" w:rsidR="005E4F35" w:rsidRPr="00042092" w:rsidRDefault="005E4F35" w:rsidP="005E4F35">
      <w:pPr>
        <w:rPr>
          <w:color w:val="FF0000"/>
        </w:rPr>
      </w:pPr>
      <w:r w:rsidRPr="00042092">
        <w:rPr>
          <w:color w:val="FF0000"/>
        </w:rPr>
        <w:t>[Name]</w:t>
      </w:r>
    </w:p>
    <w:p w14:paraId="438508EF" w14:textId="77777777" w:rsidR="005E4F35" w:rsidRPr="00042092" w:rsidRDefault="005E4F35" w:rsidP="005E4F35">
      <w:pPr>
        <w:rPr>
          <w:color w:val="FF0000"/>
        </w:rPr>
      </w:pPr>
      <w:r w:rsidRPr="00042092">
        <w:rPr>
          <w:color w:val="FF0000"/>
        </w:rPr>
        <w:t>[Title]</w:t>
      </w:r>
    </w:p>
    <w:p w14:paraId="61B48E64" w14:textId="77777777" w:rsidR="005E4F35" w:rsidRDefault="005E4F35" w:rsidP="005E4F35">
      <w:pPr>
        <w:rPr>
          <w:color w:val="FF0000"/>
        </w:rPr>
      </w:pPr>
      <w:r w:rsidRPr="00042092">
        <w:rPr>
          <w:color w:val="FF0000"/>
        </w:rPr>
        <w:t>[Company]</w:t>
      </w:r>
    </w:p>
    <w:p w14:paraId="7BE32023" w14:textId="77777777" w:rsidR="002B5BA7" w:rsidRDefault="002B5BA7" w:rsidP="002B5BA7">
      <w:pPr>
        <w:rPr>
          <w:sz w:val="20"/>
          <w:szCs w:val="20"/>
        </w:rPr>
      </w:pPr>
    </w:p>
    <w:p w14:paraId="1F984BCC" w14:textId="5A3D473F" w:rsidR="002B5BA7" w:rsidRPr="00347D16" w:rsidRDefault="002B5BA7" w:rsidP="002B5BA7">
      <w:pPr>
        <w:rPr>
          <w:sz w:val="20"/>
          <w:szCs w:val="20"/>
        </w:rPr>
      </w:pPr>
      <w:r w:rsidRPr="00347D16">
        <w:rPr>
          <w:sz w:val="20"/>
          <w:szCs w:val="20"/>
        </w:rPr>
        <w:t>For Plan Sponsor and Participant Use Only</w:t>
      </w:r>
    </w:p>
    <w:p w14:paraId="66C77CCD" w14:textId="77777777" w:rsidR="005E4F35" w:rsidRPr="00B21361" w:rsidRDefault="005E4F35" w:rsidP="005E4F35">
      <w:pPr>
        <w:rPr>
          <w:sz w:val="20"/>
          <w:szCs w:val="20"/>
        </w:rPr>
      </w:pPr>
      <w:r w:rsidRPr="00B21361">
        <w:rPr>
          <w:sz w:val="20"/>
          <w:szCs w:val="20"/>
        </w:rPr>
        <w:t>1 Paycheck is the annuity income received in retirement. Guarantees of fixed monthly payments are only associated with TIAA's fixed annuities. Converting some or all of your savings to income benefits (referred to as "annuitization") is a permanent decision. Once income benefit payments have begun, you are unable to change to another option.</w:t>
      </w:r>
    </w:p>
    <w:p w14:paraId="0E0BA296" w14:textId="247BB3A8" w:rsidR="005E4F35" w:rsidRPr="00B21361" w:rsidRDefault="005E4F35" w:rsidP="005E4F35">
      <w:pPr>
        <w:rPr>
          <w:sz w:val="20"/>
          <w:szCs w:val="20"/>
        </w:rPr>
      </w:pPr>
      <w:r w:rsidRPr="00B21361">
        <w:rPr>
          <w:sz w:val="20"/>
          <w:szCs w:val="20"/>
        </w:rPr>
        <w:t>The target date is the approximate date when investors plan to start withdrawing their money. The principal value of the NLI CIT (</w:t>
      </w:r>
      <w:r w:rsidR="00B37143">
        <w:rPr>
          <w:sz w:val="20"/>
          <w:szCs w:val="20"/>
        </w:rPr>
        <w:t>Lifecycle Income CIT Serie</w:t>
      </w:r>
      <w:r w:rsidRPr="00B21361">
        <w:rPr>
          <w:sz w:val="20"/>
          <w:szCs w:val="20"/>
        </w:rPr>
        <w:t>) is not guaranteed at any time, including at the target date. After 30 years past when the target date has been reached, the NLI CIT may be merged into another target date NLI CIT with the same asset allocation. The unit value of the CIT will fluctuate, and investors may lose money. The NLI CIT may not achieve its target allocations and even if it does, the asset allocations may not achieve the desired risk-return characteristics and may result in the NLI CIT underperforming other similar funds.</w:t>
      </w:r>
    </w:p>
    <w:p w14:paraId="6F690D5C" w14:textId="1A840A9E" w:rsidR="005E4F35" w:rsidRPr="00B21361" w:rsidRDefault="005E4F35" w:rsidP="005E4F35">
      <w:pPr>
        <w:rPr>
          <w:sz w:val="20"/>
          <w:szCs w:val="20"/>
        </w:rPr>
      </w:pPr>
      <w:r w:rsidRPr="00B21361">
        <w:rPr>
          <w:sz w:val="20"/>
          <w:szCs w:val="20"/>
        </w:rPr>
        <w:lastRenderedPageBreak/>
        <w:t>The information contained is the Nuveen Lifecycle Income Collective Investment Trust Series described on this material (</w:t>
      </w:r>
      <w:r w:rsidR="00B37143">
        <w:rPr>
          <w:sz w:val="20"/>
          <w:szCs w:val="20"/>
        </w:rPr>
        <w:t>Lifecycle Income CIT Serie</w:t>
      </w:r>
      <w:r w:rsidRPr="00B21361">
        <w:rPr>
          <w:sz w:val="20"/>
          <w:szCs w:val="20"/>
        </w:rPr>
        <w:t xml:space="preserve">). Please note that the </w:t>
      </w:r>
      <w:r w:rsidR="00B37143">
        <w:rPr>
          <w:sz w:val="20"/>
          <w:szCs w:val="20"/>
        </w:rPr>
        <w:t>Lifecycle Income CIT Serie</w:t>
      </w:r>
      <w:r w:rsidRPr="00B21361">
        <w:rPr>
          <w:sz w:val="20"/>
          <w:szCs w:val="20"/>
        </w:rPr>
        <w:t xml:space="preserve"> is not a series of mutual funds and differs in many ways from the mutual funds using a similar strategy. Information about the mutual funds or management of the mutual funds should not be automatically applied to the CIT. The </w:t>
      </w:r>
      <w:r w:rsidR="00B37143">
        <w:rPr>
          <w:sz w:val="20"/>
          <w:szCs w:val="20"/>
        </w:rPr>
        <w:t>Lifecycle Income CIT Serie</w:t>
      </w:r>
      <w:r w:rsidRPr="00B21361">
        <w:rPr>
          <w:sz w:val="20"/>
          <w:szCs w:val="20"/>
        </w:rPr>
        <w:t xml:space="preserve"> may be referred to as “Funds” in the following disclosures.</w:t>
      </w:r>
    </w:p>
    <w:p w14:paraId="2C327D75" w14:textId="77777777" w:rsidR="005E4F35" w:rsidRPr="00B21361" w:rsidRDefault="005E4F35" w:rsidP="005E4F35">
      <w:pPr>
        <w:rPr>
          <w:sz w:val="20"/>
          <w:szCs w:val="20"/>
        </w:rPr>
      </w:pPr>
      <w:r w:rsidRPr="00B21361">
        <w:rPr>
          <w:sz w:val="20"/>
          <w:szCs w:val="20"/>
        </w:rPr>
        <w:t>Risk considerations</w:t>
      </w:r>
    </w:p>
    <w:p w14:paraId="2803AEDF" w14:textId="0A03265C" w:rsidR="005E4F35" w:rsidRPr="00B21361" w:rsidRDefault="005E4F35" w:rsidP="005E4F35">
      <w:pPr>
        <w:rPr>
          <w:sz w:val="20"/>
          <w:szCs w:val="20"/>
        </w:rPr>
      </w:pPr>
      <w:r w:rsidRPr="00B21361">
        <w:rPr>
          <w:sz w:val="20"/>
          <w:szCs w:val="20"/>
        </w:rPr>
        <w:t xml:space="preserve">Investing involves risk; principal loss is possible. There is no guarantee the </w:t>
      </w:r>
      <w:r w:rsidR="00B37143">
        <w:rPr>
          <w:sz w:val="20"/>
          <w:szCs w:val="20"/>
        </w:rPr>
        <w:t>Lifecycle Income CIT Series</w:t>
      </w:r>
      <w:r w:rsidRPr="00B21361">
        <w:rPr>
          <w:sz w:val="20"/>
          <w:szCs w:val="20"/>
        </w:rPr>
        <w:t xml:space="preserve">’ investment objectives will be achieved. The </w:t>
      </w:r>
      <w:r w:rsidR="00B37143">
        <w:rPr>
          <w:sz w:val="20"/>
          <w:szCs w:val="20"/>
        </w:rPr>
        <w:t>Lifecycle Income CIT Serie</w:t>
      </w:r>
      <w:r w:rsidRPr="00B21361">
        <w:rPr>
          <w:sz w:val="20"/>
          <w:szCs w:val="20"/>
        </w:rPr>
        <w:t xml:space="preserve"> are funds of funds subject to the risks of its underlying funds in proportion to each Fund’s allocation. Underlying Funds invest primarily in stocks and bonds. Large cap stocks may grow more slowly than the overall market. Growth stocks and stocks issued by smaller companies are more volatile than other stocks. Bonds lose value when the issuer is unable to make interest and principal payments when due or otherwise faces a decline in its credit quality. They experience volatility when interest rates fluctuate. Rising interest rates can cause bond prices to fall. Declining interest rates can cause bond income to fall. Non-U.S. investments involve risks including currency fluctuation, political and economic instability, and lack of liquidity and differing legal and accounting standards. These risks are magnified in emerging markets. The target date is the approximate date when investors plan to start withdrawing their money. The principal value of the Fund(s) are not guaranteed at any time, including at the target date. Allocations are subject to change.</w:t>
      </w:r>
    </w:p>
    <w:p w14:paraId="305871C9" w14:textId="77777777" w:rsidR="005E4F35" w:rsidRPr="00B21361" w:rsidRDefault="005E4F35" w:rsidP="005E4F35">
      <w:pPr>
        <w:rPr>
          <w:sz w:val="20"/>
          <w:szCs w:val="20"/>
        </w:rPr>
      </w:pPr>
      <w:r w:rsidRPr="00B21361">
        <w:rPr>
          <w:sz w:val="20"/>
          <w:szCs w:val="20"/>
        </w:rPr>
        <w:t>Annuity contracts may contain terms for keeping them in force. We can provide you with costs and complete details.</w:t>
      </w:r>
    </w:p>
    <w:p w14:paraId="4C11FE84" w14:textId="77777777" w:rsidR="005E4F35" w:rsidRPr="00B21361" w:rsidRDefault="005E4F35" w:rsidP="005E4F35">
      <w:pPr>
        <w:rPr>
          <w:sz w:val="20"/>
          <w:szCs w:val="20"/>
        </w:rPr>
      </w:pPr>
      <w:r w:rsidRPr="00B21361">
        <w:rPr>
          <w:sz w:val="20"/>
          <w:szCs w:val="20"/>
        </w:rPr>
        <w:t>TIAA Secure Income Account is a fixed annuity product issued through a contract by Teachers Insurance and Annuity Association of America (TIAA), New York, NY. Form series including but not limited to: TIAA-STDFA-001-NUV and related state specific versions. Any guarantees under annuities issued by TIAA are subject to TIAA's claims-paying ability.</w:t>
      </w:r>
    </w:p>
    <w:p w14:paraId="695DE744" w14:textId="18688D80" w:rsidR="005E4F35" w:rsidRPr="00B21361" w:rsidRDefault="005E4F35" w:rsidP="005E4F35">
      <w:pPr>
        <w:rPr>
          <w:sz w:val="20"/>
          <w:szCs w:val="20"/>
        </w:rPr>
      </w:pPr>
      <w:r w:rsidRPr="00B21361">
        <w:rPr>
          <w:sz w:val="20"/>
          <w:szCs w:val="20"/>
        </w:rPr>
        <w:t>As a complex bank product, CITs are exposed to operational, regulatory and reputational risks. Diversification does not assure a profit or protect against loss.</w:t>
      </w:r>
    </w:p>
    <w:p w14:paraId="527E0953" w14:textId="50D5B366" w:rsidR="005E4F35" w:rsidRPr="00B21361" w:rsidRDefault="005E4F35" w:rsidP="005E4F35">
      <w:pPr>
        <w:rPr>
          <w:sz w:val="20"/>
          <w:szCs w:val="20"/>
        </w:rPr>
      </w:pPr>
      <w:r w:rsidRPr="00B21361">
        <w:rPr>
          <w:sz w:val="20"/>
          <w:szCs w:val="20"/>
        </w:rPr>
        <w:t xml:space="preserve">SEI Trust Company (the “Trustee”) serves as the Trustee of the Nuveen/SEI Trust Company Investment Trust </w:t>
      </w:r>
      <w:r w:rsidR="00563B7B">
        <w:rPr>
          <w:sz w:val="20"/>
          <w:szCs w:val="20"/>
        </w:rPr>
        <w:t xml:space="preserve">III </w:t>
      </w:r>
      <w:r w:rsidRPr="00B21361">
        <w:rPr>
          <w:sz w:val="20"/>
          <w:szCs w:val="20"/>
        </w:rPr>
        <w:t xml:space="preserve">(the “Trust”) and maintains ultimate fiduciary authority over the management of, and the investments made, in the </w:t>
      </w:r>
      <w:r w:rsidR="00B37143">
        <w:rPr>
          <w:sz w:val="20"/>
          <w:szCs w:val="20"/>
        </w:rPr>
        <w:t>Lifecycle Income CIT Serie</w:t>
      </w:r>
      <w:r w:rsidRPr="00B21361">
        <w:rPr>
          <w:sz w:val="20"/>
          <w:szCs w:val="20"/>
        </w:rPr>
        <w:t xml:space="preserve">. Each Fund is part of the Trust operated by the Trustee. The Trustee is a trust company organized under the laws of the Commonwealth of Pennsylvania and wholly owned subsidiary of SEI Investments Company (SEI). The </w:t>
      </w:r>
      <w:r w:rsidR="00B37143">
        <w:rPr>
          <w:sz w:val="20"/>
          <w:szCs w:val="20"/>
        </w:rPr>
        <w:t>Lifecycle Income CIT Serie</w:t>
      </w:r>
      <w:r w:rsidRPr="00B21361">
        <w:rPr>
          <w:sz w:val="20"/>
          <w:szCs w:val="20"/>
        </w:rPr>
        <w:t xml:space="preserve"> is managed by the Trustee, based on the investment advice of Nuveen Fund Advisors, LLC, the investment adviser to the Trust, and Nuveen Asset Management, LLC as investment sub- adviser to the </w:t>
      </w:r>
      <w:r w:rsidR="00B37143">
        <w:rPr>
          <w:sz w:val="20"/>
          <w:szCs w:val="20"/>
        </w:rPr>
        <w:t>Lifecycle Income CIT Serie</w:t>
      </w:r>
      <w:r w:rsidRPr="00B21361">
        <w:rPr>
          <w:sz w:val="20"/>
          <w:szCs w:val="20"/>
        </w:rPr>
        <w:t>.</w:t>
      </w:r>
    </w:p>
    <w:p w14:paraId="48388507" w14:textId="6DF64A3F" w:rsidR="005E4F35" w:rsidRPr="00B21361" w:rsidRDefault="005E4F35" w:rsidP="005E4F35">
      <w:pPr>
        <w:rPr>
          <w:sz w:val="20"/>
          <w:szCs w:val="20"/>
        </w:rPr>
      </w:pPr>
      <w:r w:rsidRPr="00B21361">
        <w:rPr>
          <w:sz w:val="20"/>
          <w:szCs w:val="20"/>
        </w:rPr>
        <w:t xml:space="preserve">The </w:t>
      </w:r>
      <w:r w:rsidR="00B37143">
        <w:rPr>
          <w:sz w:val="20"/>
          <w:szCs w:val="20"/>
        </w:rPr>
        <w:t>Lifecycle Income CIT Serie</w:t>
      </w:r>
      <w:r w:rsidRPr="00B21361">
        <w:rPr>
          <w:sz w:val="20"/>
          <w:szCs w:val="20"/>
        </w:rPr>
        <w:t xml:space="preserve"> are trusts for the collective investment of assets of participating tax qualified pension and </w:t>
      </w:r>
      <w:proofErr w:type="gramStart"/>
      <w:r w:rsidRPr="00B21361">
        <w:rPr>
          <w:sz w:val="20"/>
          <w:szCs w:val="20"/>
        </w:rPr>
        <w:t>profit sharing</w:t>
      </w:r>
      <w:proofErr w:type="gramEnd"/>
      <w:r w:rsidRPr="00B21361">
        <w:rPr>
          <w:sz w:val="20"/>
          <w:szCs w:val="20"/>
        </w:rPr>
        <w:t xml:space="preserve"> plans and related trusts, governmental plans and other eligible plans. As bank collective investment trusts, the Trust is exempt from registration as an investment company.</w:t>
      </w:r>
    </w:p>
    <w:p w14:paraId="3B542925" w14:textId="77777777" w:rsidR="005E4F35" w:rsidRPr="00B21361" w:rsidRDefault="005E4F35" w:rsidP="005E4F35">
      <w:pPr>
        <w:rPr>
          <w:sz w:val="20"/>
          <w:szCs w:val="20"/>
        </w:rPr>
      </w:pPr>
      <w:r w:rsidRPr="00B21361">
        <w:rPr>
          <w:sz w:val="20"/>
          <w:szCs w:val="20"/>
        </w:rPr>
        <w:t>A plan fiduciary should consider the Funds' objectives, risks, and expenses before investing. This and other information can be found in the Declaration of Trust and the Funds’ Disclosure Memoranda. The Fund is not a mutual fund, and its units are not registered under the Securities Act of 1933, as amended, or the applicable securities laws of any state or other jurisdiction.</w:t>
      </w:r>
    </w:p>
    <w:p w14:paraId="153959FE" w14:textId="34C87C4C" w:rsidR="005E4F35" w:rsidRPr="00B21361" w:rsidRDefault="005E4F35" w:rsidP="005E4F35">
      <w:pPr>
        <w:rPr>
          <w:sz w:val="20"/>
          <w:szCs w:val="20"/>
        </w:rPr>
      </w:pPr>
      <w:r w:rsidRPr="00B21361">
        <w:rPr>
          <w:sz w:val="20"/>
          <w:szCs w:val="20"/>
        </w:rPr>
        <w:t>©2024 Nuveen, LLC. Copyrights owned by Teachers Insurance and Annuity Association of America – College Retirement Equity Funds are used by permission.</w:t>
      </w:r>
    </w:p>
    <w:p w14:paraId="6EDD1138" w14:textId="47BCB719" w:rsidR="002A065B" w:rsidRPr="00C256CF" w:rsidRDefault="00C256CF" w:rsidP="00F840F3">
      <w:pPr>
        <w:rPr>
          <w:sz w:val="20"/>
          <w:szCs w:val="20"/>
        </w:rPr>
      </w:pPr>
      <w:r w:rsidRPr="00C256CF">
        <w:rPr>
          <w:sz w:val="20"/>
          <w:szCs w:val="20"/>
        </w:rPr>
        <w:t>XET-3512986CS-E0424WX</w:t>
      </w:r>
    </w:p>
    <w:sectPr w:rsidR="002A065B" w:rsidRPr="00C256CF">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E5501" w14:textId="77777777" w:rsidR="004269EA" w:rsidRDefault="004269EA" w:rsidP="005E4F35">
      <w:pPr>
        <w:spacing w:after="0" w:line="240" w:lineRule="auto"/>
      </w:pPr>
      <w:r>
        <w:separator/>
      </w:r>
    </w:p>
  </w:endnote>
  <w:endnote w:type="continuationSeparator" w:id="0">
    <w:p w14:paraId="2C9B74A2" w14:textId="77777777" w:rsidR="004269EA" w:rsidRDefault="004269EA" w:rsidP="005E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DF589" w14:textId="0377EEB2" w:rsidR="005E4F35" w:rsidRDefault="005E4F35">
    <w:pPr>
      <w:pStyle w:val="Footer"/>
    </w:pPr>
    <w:r>
      <w:rPr>
        <w:noProof/>
      </w:rPr>
      <mc:AlternateContent>
        <mc:Choice Requires="wps">
          <w:drawing>
            <wp:anchor distT="0" distB="0" distL="0" distR="0" simplePos="0" relativeHeight="251659264" behindDoc="0" locked="0" layoutInCell="1" allowOverlap="1" wp14:anchorId="2B0CCFFF" wp14:editId="0718C91A">
              <wp:simplePos x="635" y="635"/>
              <wp:positionH relativeFrom="page">
                <wp:align>center</wp:align>
              </wp:positionH>
              <wp:positionV relativeFrom="page">
                <wp:align>bottom</wp:align>
              </wp:positionV>
              <wp:extent cx="443865" cy="443865"/>
              <wp:effectExtent l="0" t="0" r="2540" b="0"/>
              <wp:wrapNone/>
              <wp:docPr id="2" name="Text Box 2"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F3D9AD" w14:textId="06F2A1D6" w:rsidR="005E4F35" w:rsidRPr="005E4F35" w:rsidRDefault="005E4F35" w:rsidP="005E4F35">
                          <w:pPr>
                            <w:spacing w:after="0"/>
                            <w:rPr>
                              <w:rFonts w:ascii="Calibri" w:eastAsia="Calibri" w:hAnsi="Calibri" w:cs="Calibri"/>
                              <w:noProof/>
                              <w:color w:val="000000"/>
                              <w:sz w:val="20"/>
                              <w:szCs w:val="20"/>
                            </w:rPr>
                          </w:pPr>
                          <w:r w:rsidRPr="005E4F35">
                            <w:rPr>
                              <w:rFonts w:ascii="Calibri" w:eastAsia="Calibri" w:hAnsi="Calibri" w:cs="Calibri"/>
                              <w:noProof/>
                              <w:color w:val="000000"/>
                              <w:sz w:val="20"/>
                              <w:szCs w:val="20"/>
                            </w:rPr>
                            <w:t>Confidential (C)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CCFFF" id="_x0000_t202" coordsize="21600,21600" o:spt="202" path="m,l,21600r21600,l21600,xe">
              <v:stroke joinstyle="miter"/>
              <v:path gradientshapeok="t" o:connecttype="rect"/>
            </v:shapetype>
            <v:shape id="Text Box 2" o:spid="_x0000_s1026" type="#_x0000_t202" alt="Confidential (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5F3D9AD" w14:textId="06F2A1D6" w:rsidR="005E4F35" w:rsidRPr="005E4F35" w:rsidRDefault="005E4F35" w:rsidP="005E4F35">
                    <w:pPr>
                      <w:spacing w:after="0"/>
                      <w:rPr>
                        <w:rFonts w:ascii="Calibri" w:eastAsia="Calibri" w:hAnsi="Calibri" w:cs="Calibri"/>
                        <w:noProof/>
                        <w:color w:val="000000"/>
                        <w:sz w:val="20"/>
                        <w:szCs w:val="20"/>
                      </w:rPr>
                    </w:pPr>
                    <w:r w:rsidRPr="005E4F35">
                      <w:rPr>
                        <w:rFonts w:ascii="Calibri" w:eastAsia="Calibri" w:hAnsi="Calibri" w:cs="Calibri"/>
                        <w:noProof/>
                        <w:color w:val="000000"/>
                        <w:sz w:val="20"/>
                        <w:szCs w:val="20"/>
                      </w:rPr>
                      <w:t>Confidential (C)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7B97" w14:textId="3DECC989" w:rsidR="005E4F35" w:rsidRDefault="005E4F35">
    <w:pPr>
      <w:pStyle w:val="Footer"/>
    </w:pPr>
    <w:r>
      <w:rPr>
        <w:noProof/>
      </w:rPr>
      <mc:AlternateContent>
        <mc:Choice Requires="wps">
          <w:drawing>
            <wp:anchor distT="0" distB="0" distL="0" distR="0" simplePos="0" relativeHeight="251660288" behindDoc="0" locked="0" layoutInCell="1" allowOverlap="1" wp14:anchorId="3FFC5899" wp14:editId="3FEEDAC5">
              <wp:simplePos x="0" y="0"/>
              <wp:positionH relativeFrom="margin">
                <wp:posOffset>2933323</wp:posOffset>
              </wp:positionH>
              <wp:positionV relativeFrom="page">
                <wp:posOffset>9700788</wp:posOffset>
              </wp:positionV>
              <wp:extent cx="258024" cy="357505"/>
              <wp:effectExtent l="0" t="0" r="8890" b="0"/>
              <wp:wrapNone/>
              <wp:docPr id="3" name="Text Box 3"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024" cy="357505"/>
                      </a:xfrm>
                      <a:prstGeom prst="rect">
                        <a:avLst/>
                      </a:prstGeom>
                      <a:noFill/>
                      <a:ln>
                        <a:noFill/>
                      </a:ln>
                    </wps:spPr>
                    <wps:txbx>
                      <w:txbxContent>
                        <w:p w14:paraId="401A86BB" w14:textId="494B7CA6" w:rsidR="005E4F35" w:rsidRPr="005E4F35" w:rsidRDefault="005E4F35" w:rsidP="005E4F35">
                          <w:pPr>
                            <w:spacing w:after="0"/>
                            <w:rPr>
                              <w:rFonts w:ascii="Calibri" w:eastAsia="Calibri" w:hAnsi="Calibri" w:cs="Calibri"/>
                              <w:noProof/>
                              <w:color w:val="000000"/>
                              <w:sz w:val="20"/>
                              <w:szCs w:val="20"/>
                            </w:rPr>
                          </w:pPr>
                        </w:p>
                      </w:txbxContent>
                    </wps:txbx>
                    <wps:bodyPr rot="0" spcFirstLastPara="0" vertOverflow="overflow" horzOverflow="overflow" vert="horz" wrap="square" lIns="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3FFC5899" id="_x0000_t202" coordsize="21600,21600" o:spt="202" path="m,l,21600r21600,l21600,xe">
              <v:stroke joinstyle="miter"/>
              <v:path gradientshapeok="t" o:connecttype="rect"/>
            </v:shapetype>
            <v:shape id="Text Box 3" o:spid="_x0000_s1027" type="#_x0000_t202" alt="Confidential (C)" style="position:absolute;margin-left:230.95pt;margin-top:763.85pt;width:20.3pt;height:28.15pt;z-index:251660288;visibility:visible;mso-wrap-style:square;mso-width-percent:0;mso-wrap-distance-left:0;mso-wrap-distance-top:0;mso-wrap-distance-right:0;mso-wrap-distance-bottom:0;mso-position-horizontal:absolute;mso-position-horizontal-relative:margin;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" filled="f" stroked="f">
              <v:textbox style="mso-fit-shape-to-text:t" inset="0,0,0,15pt">
                <w:txbxContent>
                  <w:p w14:paraId="401A86BB" w14:textId="494B7CA6" w:rsidR="005E4F35" w:rsidRPr="005E4F35" w:rsidRDefault="005E4F35" w:rsidP="005E4F35">
                    <w:pPr>
                      <w:spacing w:after="0"/>
                      <w:rPr>
                        <w:rFonts w:ascii="Calibri" w:eastAsia="Calibri" w:hAnsi="Calibri" w:cs="Calibri"/>
                        <w:noProof/>
                        <w:color w:val="000000"/>
                        <w:sz w:val="20"/>
                        <w:szCs w:val="20"/>
                      </w:rPr>
                    </w:pP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4CA7" w14:textId="3E0FBE2B" w:rsidR="005E4F35" w:rsidRDefault="005E4F35">
    <w:pPr>
      <w:pStyle w:val="Footer"/>
    </w:pPr>
    <w:r>
      <w:rPr>
        <w:noProof/>
      </w:rPr>
      <mc:AlternateContent>
        <mc:Choice Requires="wps">
          <w:drawing>
            <wp:anchor distT="0" distB="0" distL="0" distR="0" simplePos="0" relativeHeight="251658240" behindDoc="0" locked="0" layoutInCell="1" allowOverlap="1" wp14:anchorId="7CFF5727" wp14:editId="0B033E81">
              <wp:simplePos x="635" y="635"/>
              <wp:positionH relativeFrom="page">
                <wp:align>center</wp:align>
              </wp:positionH>
              <wp:positionV relativeFrom="page">
                <wp:align>bottom</wp:align>
              </wp:positionV>
              <wp:extent cx="443865" cy="443865"/>
              <wp:effectExtent l="0" t="0" r="2540" b="0"/>
              <wp:wrapNone/>
              <wp:docPr id="1" name="Text Box 1"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BD920E" w14:textId="34990DDC" w:rsidR="005E4F35" w:rsidRPr="005E4F35" w:rsidRDefault="005E4F35" w:rsidP="005E4F35">
                          <w:pPr>
                            <w:spacing w:after="0"/>
                            <w:rPr>
                              <w:rFonts w:ascii="Calibri" w:eastAsia="Calibri" w:hAnsi="Calibri" w:cs="Calibri"/>
                              <w:noProof/>
                              <w:color w:val="000000"/>
                              <w:sz w:val="20"/>
                              <w:szCs w:val="20"/>
                            </w:rPr>
                          </w:pPr>
                          <w:r w:rsidRPr="005E4F35">
                            <w:rPr>
                              <w:rFonts w:ascii="Calibri" w:eastAsia="Calibri" w:hAnsi="Calibri" w:cs="Calibri"/>
                              <w:noProof/>
                              <w:color w:val="000000"/>
                              <w:sz w:val="20"/>
                              <w:szCs w:val="20"/>
                            </w:rPr>
                            <w:t>Confidential (C)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FF5727" id="_x0000_t202" coordsize="21600,21600" o:spt="202" path="m,l,21600r21600,l21600,xe">
              <v:stroke joinstyle="miter"/>
              <v:path gradientshapeok="t" o:connecttype="rect"/>
            </v:shapetype>
            <v:shape id="Text Box 1" o:spid="_x0000_s1028" type="#_x0000_t202" alt="Confidential (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5BD920E" w14:textId="34990DDC" w:rsidR="005E4F35" w:rsidRPr="005E4F35" w:rsidRDefault="005E4F35" w:rsidP="005E4F35">
                    <w:pPr>
                      <w:spacing w:after="0"/>
                      <w:rPr>
                        <w:rFonts w:ascii="Calibri" w:eastAsia="Calibri" w:hAnsi="Calibri" w:cs="Calibri"/>
                        <w:noProof/>
                        <w:color w:val="000000"/>
                        <w:sz w:val="20"/>
                        <w:szCs w:val="20"/>
                      </w:rPr>
                    </w:pPr>
                    <w:r w:rsidRPr="005E4F35">
                      <w:rPr>
                        <w:rFonts w:ascii="Calibri" w:eastAsia="Calibri" w:hAnsi="Calibri" w:cs="Calibri"/>
                        <w:noProof/>
                        <w:color w:val="000000"/>
                        <w:sz w:val="20"/>
                        <w:szCs w:val="20"/>
                      </w:rPr>
                      <w:t>Confidential (C)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2A304" w14:textId="77777777" w:rsidR="004269EA" w:rsidRDefault="004269EA" w:rsidP="005E4F35">
      <w:pPr>
        <w:spacing w:after="0" w:line="240" w:lineRule="auto"/>
      </w:pPr>
      <w:r>
        <w:separator/>
      </w:r>
    </w:p>
  </w:footnote>
  <w:footnote w:type="continuationSeparator" w:id="0">
    <w:p w14:paraId="42B3EBB5" w14:textId="77777777" w:rsidR="004269EA" w:rsidRDefault="004269EA" w:rsidP="005E4F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0E1"/>
    <w:multiLevelType w:val="hybridMultilevel"/>
    <w:tmpl w:val="C2A8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973FA"/>
    <w:multiLevelType w:val="hybridMultilevel"/>
    <w:tmpl w:val="801E7410"/>
    <w:lvl w:ilvl="0" w:tplc="E48666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277304">
    <w:abstractNumId w:val="0"/>
  </w:num>
  <w:num w:numId="2" w16cid:durableId="150767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0F3"/>
    <w:rsid w:val="00042092"/>
    <w:rsid w:val="002A065B"/>
    <w:rsid w:val="002B5BA7"/>
    <w:rsid w:val="002F2FE1"/>
    <w:rsid w:val="003409A5"/>
    <w:rsid w:val="00354B2A"/>
    <w:rsid w:val="004269EA"/>
    <w:rsid w:val="00563B7B"/>
    <w:rsid w:val="005E4F35"/>
    <w:rsid w:val="00821008"/>
    <w:rsid w:val="00B21361"/>
    <w:rsid w:val="00B37143"/>
    <w:rsid w:val="00C256CF"/>
    <w:rsid w:val="00F6345F"/>
    <w:rsid w:val="00F84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18B11"/>
  <w15:chartTrackingRefBased/>
  <w15:docId w15:val="{C9352F5C-E23A-4DBF-AE76-6A0A695A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0F3"/>
    <w:pPr>
      <w:ind w:left="720"/>
      <w:contextualSpacing/>
    </w:pPr>
  </w:style>
  <w:style w:type="paragraph" w:styleId="Footer">
    <w:name w:val="footer"/>
    <w:basedOn w:val="Normal"/>
    <w:link w:val="FooterChar"/>
    <w:uiPriority w:val="99"/>
    <w:unhideWhenUsed/>
    <w:rsid w:val="005E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F35"/>
  </w:style>
  <w:style w:type="paragraph" w:styleId="Header">
    <w:name w:val="header"/>
    <w:basedOn w:val="Normal"/>
    <w:link w:val="HeaderChar"/>
    <w:uiPriority w:val="99"/>
    <w:unhideWhenUsed/>
    <w:rsid w:val="00042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0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Leavitt, Gayle</dc:creator>
  <cp:keywords/>
  <dc:description/>
  <cp:lastModifiedBy>Leavitt, Gayle</cp:lastModifiedBy>
  <cp:revision>11</cp:revision>
  <dcterms:created xsi:type="dcterms:W3CDTF">2024-04-15T14:30:00Z</dcterms:created>
  <dcterms:modified xsi:type="dcterms:W3CDTF">2024-04-16T17:20:00Z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Confidential (C)</vt:lpwstr>
  </property>
  <property fmtid="{D5CDD505-2E9C-101B-9397-08002B2CF9AE}" pid="5" name="MSIP_Label_6c2268aa-3916-486c-aa2c-ecdcbdaee62c_Enabled">
    <vt:lpwstr>true</vt:lpwstr>
  </property>
  <property fmtid="{D5CDD505-2E9C-101B-9397-08002B2CF9AE}" pid="6" name="MSIP_Label_6c2268aa-3916-486c-aa2c-ecdcbdaee62c_SetDate">
    <vt:lpwstr>2024-04-15T15:26:34Z</vt:lpwstr>
  </property>
  <property fmtid="{D5CDD505-2E9C-101B-9397-08002B2CF9AE}" pid="7" name="MSIP_Label_6c2268aa-3916-486c-aa2c-ecdcbdaee62c_Method">
    <vt:lpwstr>Standard</vt:lpwstr>
  </property>
  <property fmtid="{D5CDD505-2E9C-101B-9397-08002B2CF9AE}" pid="8" name="MSIP_Label_6c2268aa-3916-486c-aa2c-ecdcbdaee62c_Name">
    <vt:lpwstr>TIAA-Sensitivity-Confidential-Standard</vt:lpwstr>
  </property>
  <property fmtid="{D5CDD505-2E9C-101B-9397-08002B2CF9AE}" pid="9" name="MSIP_Label_6c2268aa-3916-486c-aa2c-ecdcbdaee62c_SiteId">
    <vt:lpwstr>67080e55-9c90-409b-9421-7fab7df8331b</vt:lpwstr>
  </property>
  <property fmtid="{D5CDD505-2E9C-101B-9397-08002B2CF9AE}" pid="10" name="MSIP_Label_6c2268aa-3916-486c-aa2c-ecdcbdaee62c_ActionId">
    <vt:lpwstr>968822f9-581a-436a-8417-6ea5cd5e95b5</vt:lpwstr>
  </property>
  <property fmtid="{D5CDD505-2E9C-101B-9397-08002B2CF9AE}" pid="11" name="MSIP_Label_6c2268aa-3916-486c-aa2c-ecdcbdaee62c_ContentBits">
    <vt:lpwstr>2</vt:lpwstr>
  </property>
</Properties>
</file>